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B1D0" w14:textId="0C1070EF" w:rsidR="00814F87" w:rsidRPr="00D23388" w:rsidRDefault="00814F87" w:rsidP="00814F87">
      <w:pPr>
        <w:pStyle w:val="NormalWeb"/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</w:rPr>
        <w:t xml:space="preserve">Fill in as many blanks as possible. </w:t>
      </w:r>
      <w:r w:rsidR="001B0DAF">
        <w:rPr>
          <w:rFonts w:ascii="Arial" w:hAnsi="Arial" w:cs="Arial"/>
          <w:sz w:val="22"/>
          <w:szCs w:val="22"/>
        </w:rPr>
        <w:t>Please provide your name</w:t>
      </w:r>
      <w:r w:rsidRPr="00D23388">
        <w:rPr>
          <w:rFonts w:ascii="Arial" w:hAnsi="Arial" w:cs="Arial"/>
          <w:sz w:val="22"/>
          <w:szCs w:val="22"/>
        </w:rPr>
        <w:t xml:space="preserve"> in case we need to contact you for clarification. Thanks for your completing this worksheet prior to the next meeting.</w:t>
      </w:r>
    </w:p>
    <w:p w14:paraId="065471E0" w14:textId="6DC93B7E" w:rsidR="00814F87" w:rsidRPr="00D23388" w:rsidRDefault="00814F87" w:rsidP="00814F87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D23388">
        <w:rPr>
          <w:rFonts w:ascii="Arial" w:hAnsi="Arial" w:cs="Arial"/>
          <w:sz w:val="22"/>
          <w:szCs w:val="22"/>
          <w:u w:val="single"/>
        </w:rPr>
        <w:t>Name:</w:t>
      </w:r>
    </w:p>
    <w:p w14:paraId="0CFF900B" w14:textId="6C8BD821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  <w:u w:val="single"/>
        </w:rPr>
        <w:t>Topic:</w:t>
      </w:r>
      <w:r w:rsidRPr="00D23388">
        <w:rPr>
          <w:rFonts w:ascii="Arial" w:hAnsi="Arial" w:cs="Arial"/>
          <w:sz w:val="22"/>
          <w:szCs w:val="22"/>
        </w:rPr>
        <w:t xml:space="preserve"> Telehealth Payment Parity</w:t>
      </w:r>
    </w:p>
    <w:p w14:paraId="4BEF4A7F" w14:textId="77777777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</w:p>
    <w:p w14:paraId="0EFE79F6" w14:textId="5BC0BF81" w:rsidR="005B35DD" w:rsidRPr="00D23388" w:rsidRDefault="00814F87" w:rsidP="005B35DD">
      <w:pPr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  <w:u w:val="single"/>
        </w:rPr>
        <w:t>Background</w:t>
      </w:r>
      <w:r w:rsidR="005B35DD" w:rsidRPr="00D23388">
        <w:rPr>
          <w:rFonts w:ascii="Arial" w:hAnsi="Arial" w:cs="Arial"/>
          <w:sz w:val="22"/>
          <w:szCs w:val="22"/>
          <w:u w:val="single"/>
        </w:rPr>
        <w:t xml:space="preserve"> on topic</w:t>
      </w:r>
      <w:r w:rsidRPr="00D23388">
        <w:rPr>
          <w:rFonts w:ascii="Arial" w:hAnsi="Arial" w:cs="Arial"/>
          <w:sz w:val="22"/>
          <w:szCs w:val="22"/>
          <w:u w:val="single"/>
        </w:rPr>
        <w:t>:</w:t>
      </w:r>
      <w:r w:rsidRPr="00D23388">
        <w:rPr>
          <w:rFonts w:ascii="Arial" w:hAnsi="Arial" w:cs="Arial"/>
          <w:sz w:val="22"/>
          <w:szCs w:val="22"/>
        </w:rPr>
        <w:t xml:space="preserve"> </w:t>
      </w:r>
      <w:r w:rsidR="005B35DD" w:rsidRPr="00D23388">
        <w:rPr>
          <w:rFonts w:ascii="Arial" w:hAnsi="Arial" w:cs="Arial"/>
          <w:sz w:val="22"/>
          <w:szCs w:val="22"/>
        </w:rPr>
        <w:t>Per the</w:t>
      </w:r>
      <w:r w:rsidRPr="00D23388">
        <w:rPr>
          <w:rFonts w:ascii="Arial" w:hAnsi="Arial" w:cs="Arial"/>
          <w:sz w:val="22"/>
          <w:szCs w:val="22"/>
        </w:rPr>
        <w:t xml:space="preserve"> Kansas Telemedicine Act</w:t>
      </w:r>
      <w:r w:rsidR="005B35DD" w:rsidRPr="00D23388">
        <w:rPr>
          <w:rFonts w:ascii="Arial" w:hAnsi="Arial" w:cs="Arial"/>
          <w:sz w:val="22"/>
          <w:szCs w:val="22"/>
        </w:rPr>
        <w:t xml:space="preserve">, insurers are authorized to establish reimbursement for services in the same manner as reimbursement for covered in-person services, but payment parity (i.e., that telehealth services be reimbursed at the same rate as in-person services) is not required. </w:t>
      </w:r>
      <w:r w:rsidR="00F34448" w:rsidRPr="00D23388">
        <w:rPr>
          <w:rFonts w:ascii="Arial" w:hAnsi="Arial" w:cs="Arial"/>
          <w:sz w:val="22"/>
          <w:szCs w:val="22"/>
        </w:rPr>
        <w:t xml:space="preserve">The Special Committee has asked this workgroup to discuss </w:t>
      </w:r>
      <w:r w:rsidR="009B0B81" w:rsidRPr="00D23388">
        <w:rPr>
          <w:rFonts w:ascii="Arial" w:hAnsi="Arial" w:cs="Arial"/>
          <w:sz w:val="22"/>
          <w:szCs w:val="22"/>
        </w:rPr>
        <w:t xml:space="preserve">telehealth </w:t>
      </w:r>
      <w:r w:rsidR="00F34448" w:rsidRPr="00D23388">
        <w:rPr>
          <w:rFonts w:ascii="Arial" w:hAnsi="Arial" w:cs="Arial"/>
          <w:sz w:val="22"/>
          <w:szCs w:val="22"/>
        </w:rPr>
        <w:t>payment parity</w:t>
      </w:r>
      <w:r w:rsidR="00545B86" w:rsidRPr="00D23388">
        <w:rPr>
          <w:rFonts w:ascii="Arial" w:hAnsi="Arial" w:cs="Arial"/>
          <w:sz w:val="22"/>
          <w:szCs w:val="22"/>
        </w:rPr>
        <w:t xml:space="preserve"> and develop a recommendation for the State of Kansas.</w:t>
      </w:r>
    </w:p>
    <w:p w14:paraId="45C16958" w14:textId="77777777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</w:p>
    <w:p w14:paraId="4188E384" w14:textId="4AB5695E" w:rsidR="005B35DD" w:rsidRPr="00D23388" w:rsidRDefault="00092DFB" w:rsidP="005B35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Reference </w:t>
      </w:r>
      <w:r w:rsidR="00B73430" w:rsidRPr="00D23388">
        <w:rPr>
          <w:rFonts w:ascii="Arial" w:hAnsi="Arial" w:cs="Arial"/>
          <w:sz w:val="22"/>
          <w:szCs w:val="22"/>
          <w:u w:val="single"/>
        </w:rPr>
        <w:t>Materials</w:t>
      </w:r>
      <w:r w:rsidR="005B35DD" w:rsidRPr="00D23388">
        <w:rPr>
          <w:rFonts w:ascii="Arial" w:hAnsi="Arial" w:cs="Arial"/>
          <w:sz w:val="22"/>
          <w:szCs w:val="22"/>
          <w:u w:val="single"/>
        </w:rPr>
        <w:t>:</w:t>
      </w:r>
    </w:p>
    <w:p w14:paraId="0F698F5C" w14:textId="3A7111A4" w:rsidR="00B73430" w:rsidRPr="006C3A44" w:rsidRDefault="00000000" w:rsidP="00EF4D66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270"/>
        <w:rPr>
          <w:rStyle w:val="Hyperlink"/>
          <w:rFonts w:ascii="Arial" w:hAnsi="Arial" w:cs="Arial"/>
          <w:color w:val="333333"/>
          <w:sz w:val="22"/>
          <w:szCs w:val="22"/>
          <w:u w:val="none"/>
        </w:rPr>
      </w:pPr>
      <w:hyperlink r:id="rId11" w:history="1">
        <w:r w:rsidR="006D58D0" w:rsidRPr="006C3A44">
          <w:rPr>
            <w:rStyle w:val="Hyperlink"/>
            <w:rFonts w:ascii="Arial" w:hAnsi="Arial" w:cs="Arial"/>
            <w:sz w:val="22"/>
            <w:szCs w:val="22"/>
          </w:rPr>
          <w:t>Kansas Telemedicine Act</w:t>
        </w:r>
      </w:hyperlink>
    </w:p>
    <w:p w14:paraId="0BBE00EE" w14:textId="62374491" w:rsidR="006D58D0" w:rsidRPr="006C3A44" w:rsidRDefault="00000000" w:rsidP="00EF4D66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270"/>
        <w:rPr>
          <w:rFonts w:ascii="Arial" w:hAnsi="Arial" w:cs="Arial"/>
          <w:color w:val="333333"/>
          <w:sz w:val="22"/>
          <w:szCs w:val="22"/>
        </w:rPr>
      </w:pPr>
      <w:hyperlink r:id="rId12" w:history="1">
        <w:r w:rsidR="006D58D0" w:rsidRPr="006C3A44">
          <w:rPr>
            <w:rStyle w:val="Hyperlink"/>
            <w:rFonts w:ascii="Arial" w:hAnsi="Arial" w:cs="Arial"/>
            <w:sz w:val="22"/>
            <w:szCs w:val="22"/>
          </w:rPr>
          <w:t>House Bill 2208</w:t>
        </w:r>
      </w:hyperlink>
    </w:p>
    <w:p w14:paraId="3953415C" w14:textId="3607839F" w:rsidR="00814F87" w:rsidRPr="00D23388" w:rsidRDefault="005B35DD" w:rsidP="00814F87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D23388">
        <w:rPr>
          <w:rFonts w:ascii="Arial" w:hAnsi="Arial" w:cs="Arial"/>
          <w:sz w:val="22"/>
          <w:szCs w:val="22"/>
          <w:u w:val="single"/>
        </w:rPr>
        <w:t>WORKSHEET:</w:t>
      </w:r>
    </w:p>
    <w:p w14:paraId="22A086B8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Suggest a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S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pecific,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M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easurable,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A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chievable,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R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elevant, and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T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ime-Bound (SMART) </w:t>
      </w:r>
      <w:r w:rsidRPr="00D23388">
        <w:rPr>
          <w:rStyle w:val="normaltextrun"/>
          <w:rFonts w:ascii="Arial" w:hAnsi="Arial" w:cs="Arial"/>
          <w:sz w:val="22"/>
          <w:szCs w:val="22"/>
        </w:rPr>
        <w:t>recommendation related to the topic.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3006C456" w14:textId="3BEC36A9" w:rsidR="00AA1D75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 (using a completed 2020 recommendation): </w:t>
      </w:r>
      <w:r w:rsidR="00F103D7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>Establish coverage of telehealth for crisis services to allow for the use of telehealth with law enforcement and mobile crisis services. Explore virtual co-responder models for law enforcement to aid police departments and other law enforcement agencies as they respond to mental health crisis in rural and frontier communities.</w:t>
      </w:r>
    </w:p>
    <w:p w14:paraId="6FF9CB02" w14:textId="2FB86330" w:rsidR="00F103D7" w:rsidRPr="00D23388" w:rsidRDefault="00F103D7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18E4E85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Identify any research used to craft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6B671AEE" w14:textId="4F30B235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 Used background from the </w:t>
      </w:r>
      <w:r w:rsidR="00527DFA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following article: </w:t>
      </w:r>
      <w:r w:rsidR="00527DFA" w:rsidRPr="00D23388">
        <w:rPr>
          <w:rStyle w:val="EndnoteReference"/>
          <w:rFonts w:ascii="Arial" w:hAnsi="Arial" w:cs="Arial"/>
          <w:color w:val="404040" w:themeColor="text1" w:themeTint="BF"/>
          <w:sz w:val="22"/>
          <w:szCs w:val="22"/>
          <w:vertAlign w:val="baseline"/>
        </w:rPr>
        <w:t xml:space="preserve">Responding to Individuals in Behavioral Health Crisis via Co-Responder Models: The role of cities, counties, law enforcement and providers. </w:t>
      </w:r>
      <w:r w:rsidR="00527DFA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>Policy Research, Inc.</w:t>
      </w:r>
      <w:r w:rsidR="00527DFA" w:rsidRPr="00D23388">
        <w:rPr>
          <w:rFonts w:ascii="Arial" w:hAnsi="Arial" w:cs="Arial"/>
          <w:color w:val="404040" w:themeColor="text1" w:themeTint="BF"/>
          <w:sz w:val="22"/>
          <w:szCs w:val="22"/>
        </w:rPr>
        <w:t xml:space="preserve"> a</w:t>
      </w:r>
      <w:r w:rsidR="00527DFA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nd National League of Cities. </w:t>
      </w:r>
    </w:p>
    <w:p w14:paraId="32B8641E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D811BC3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Identify additional research or information needed to clarify or discuss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0D12F90F" w14:textId="21EBB790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 It would be helpful to have information about </w:t>
      </w:r>
      <w:r w:rsidR="00C3330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the </w:t>
      </w:r>
      <w:r w:rsidR="004A1C73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types </w:t>
      </w:r>
      <w:r w:rsidR="00C3330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of telehealth crisis codes open for </w:t>
      </w:r>
      <w:r w:rsidR="004A1C73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Medicaid reimbursement.</w:t>
      </w:r>
      <w:r w:rsidRPr="00D23388">
        <w:rPr>
          <w:rStyle w:val="eop"/>
          <w:rFonts w:ascii="Arial" w:hAnsi="Arial" w:cs="Arial"/>
          <w:color w:val="404040" w:themeColor="text1" w:themeTint="BF"/>
          <w:sz w:val="22"/>
          <w:szCs w:val="22"/>
        </w:rPr>
        <w:t> </w:t>
      </w:r>
    </w:p>
    <w:p w14:paraId="10C24722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BE9799C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Indicate people or groups (i.e., supplemental experts) who could discuss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36EB2240" w14:textId="46A54CA9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 </w:t>
      </w:r>
      <w:r w:rsidR="007E0E8E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Local law enforcement.</w:t>
      </w:r>
      <w:r w:rsidRPr="00D23388">
        <w:rPr>
          <w:rStyle w:val="eop"/>
          <w:rFonts w:ascii="Arial" w:hAnsi="Arial" w:cs="Arial"/>
          <w:color w:val="404040" w:themeColor="text1" w:themeTint="BF"/>
          <w:sz w:val="22"/>
          <w:szCs w:val="22"/>
        </w:rPr>
        <w:t> </w:t>
      </w:r>
    </w:p>
    <w:p w14:paraId="25F64677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58DBD26" w14:textId="00DD1A88" w:rsidR="00415A0F" w:rsidRPr="00D23388" w:rsidRDefault="00415A0F" w:rsidP="003878A2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 xml:space="preserve">What kind of action or resources would be necessary to implement the recommendation (see rubric on </w:t>
      </w:r>
      <w:r w:rsidR="00D23388">
        <w:rPr>
          <w:rStyle w:val="normaltextrun"/>
          <w:rFonts w:ascii="Arial" w:hAnsi="Arial" w:cs="Arial"/>
          <w:sz w:val="22"/>
          <w:szCs w:val="22"/>
        </w:rPr>
        <w:t xml:space="preserve">next </w:t>
      </w:r>
      <w:r w:rsidRPr="00D23388">
        <w:rPr>
          <w:rStyle w:val="normaltextrun"/>
          <w:rFonts w:ascii="Arial" w:hAnsi="Arial" w:cs="Arial"/>
          <w:sz w:val="22"/>
          <w:szCs w:val="22"/>
        </w:rPr>
        <w:t>page)?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599E5B15" w14:textId="69EA2A53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Example: </w:t>
      </w:r>
      <w:r w:rsidR="00EE7D0B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Program change</w:t>
      </w:r>
      <w:r w:rsidR="001B0DAF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; federal approval process</w:t>
      </w:r>
      <w:r w:rsidR="00EE7D0B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. It w</w:t>
      </w: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ould require </w:t>
      </w:r>
      <w:r w:rsidR="00342BED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state to submit </w:t>
      </w:r>
      <w:r w:rsidR="006C3A4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a state plan amendment.</w:t>
      </w:r>
    </w:p>
    <w:p w14:paraId="188C6D4D" w14:textId="77777777" w:rsidR="00D34734" w:rsidRPr="006C3A44" w:rsidRDefault="00D34734" w:rsidP="00706597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4F27D29" w14:textId="77777777" w:rsidR="003878A2" w:rsidRDefault="00387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F2DD1F1" w14:textId="403D910D" w:rsidR="00706597" w:rsidRPr="00706597" w:rsidRDefault="00706597" w:rsidP="00706597">
      <w:pPr>
        <w:textAlignment w:val="baseline"/>
        <w:rPr>
          <w:rFonts w:ascii="Segoe UI" w:hAnsi="Segoe UI" w:cs="Segoe UI"/>
          <w:sz w:val="18"/>
          <w:szCs w:val="18"/>
        </w:rPr>
      </w:pPr>
      <w:r w:rsidRPr="00706597">
        <w:rPr>
          <w:rFonts w:ascii="Arial" w:hAnsi="Arial" w:cs="Arial"/>
          <w:b/>
          <w:bCs/>
          <w:sz w:val="22"/>
          <w:szCs w:val="22"/>
        </w:rPr>
        <w:lastRenderedPageBreak/>
        <w:t>Mental Health Modernization and Reform, Working Group Recommendation Rubric, 202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580"/>
      </w:tblGrid>
      <w:tr w:rsidR="00706597" w:rsidRPr="00706597" w14:paraId="64F41015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C13E6" w14:textId="77777777" w:rsidR="00706597" w:rsidRPr="00706597" w:rsidRDefault="00706597" w:rsidP="00706597">
            <w:pPr>
              <w:textAlignment w:val="baseline"/>
              <w:divId w:val="696004350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Recommendation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</w:tc>
      </w:tr>
      <w:tr w:rsidR="00706597" w:rsidRPr="00706597" w14:paraId="63DFB07C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D1F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Rationale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  <w:p w14:paraId="3397DC00" w14:textId="77777777" w:rsidR="00706597" w:rsidRPr="00706597" w:rsidRDefault="00706597" w:rsidP="00706597">
            <w:pPr>
              <w:textAlignment w:val="baseline"/>
              <w:rPr>
                <w:sz w:val="10"/>
                <w:szCs w:val="10"/>
              </w:rPr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52CCC372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76A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Ease of Implementation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(Score 1-10):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E3325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Potential for High Impact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(Score 1-10):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39C3AACC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2BE5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Consider: </w:t>
            </w:r>
          </w:p>
          <w:p w14:paraId="10FBE20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Program Change, (Easiest) </w:t>
            </w:r>
          </w:p>
          <w:p w14:paraId="2A19D2CC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Pilot Program,  </w:t>
            </w:r>
          </w:p>
          <w:p w14:paraId="3BB8A9D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Program Overhaul,  </w:t>
            </w:r>
          </w:p>
          <w:p w14:paraId="365751E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New Program, (Most difficult) </w:t>
            </w:r>
          </w:p>
          <w:p w14:paraId="4EEDCD6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13ECE08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cost be a barrier to implementation?  </w:t>
            </w:r>
          </w:p>
          <w:p w14:paraId="016D555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5A6E842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Does the recommendation include strategies for continuity?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(How does it consider sustainability?)</w:t>
            </w:r>
            <w:r w:rsidRPr="00706597">
              <w:rPr>
                <w:rFonts w:ascii="Lato" w:hAnsi="Lato"/>
                <w:sz w:val="22"/>
                <w:szCs w:val="22"/>
              </w:rPr>
              <w:t>  </w:t>
            </w:r>
          </w:p>
          <w:p w14:paraId="5CCFA3F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24D1B54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Which of the following mechanisms may affect the achievability of the recommendation? </w:t>
            </w:r>
          </w:p>
          <w:p w14:paraId="1C239B3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Legislative session  </w:t>
            </w:r>
          </w:p>
          <w:p w14:paraId="1D065896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Federal approval process  </w:t>
            </w:r>
          </w:p>
          <w:p w14:paraId="1781308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Regulatory process </w:t>
            </w:r>
          </w:p>
          <w:p w14:paraId="522FBA8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Contracts </w:t>
            </w:r>
          </w:p>
          <w:p w14:paraId="0C13C72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Agency budget development  </w:t>
            </w:r>
          </w:p>
          <w:p w14:paraId="6DCCE60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Grant cycles </w:t>
            </w:r>
          </w:p>
          <w:p w14:paraId="1EB11569" w14:textId="7A868FC0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Systems (e.g., IT)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F133F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Consider: </w:t>
            </w:r>
          </w:p>
          <w:p w14:paraId="2DE210E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it benefit a large population? </w:t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Yes </w:t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No </w:t>
            </w:r>
          </w:p>
          <w:p w14:paraId="54AF76E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6A70BDC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it significantly impact special populations?  </w:t>
            </w:r>
          </w:p>
          <w:p w14:paraId="022E4B6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Foster care </w:t>
            </w:r>
          </w:p>
          <w:p w14:paraId="451041E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Rural communities </w:t>
            </w:r>
          </w:p>
          <w:p w14:paraId="1BBE1D2F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Urban communities </w:t>
            </w:r>
          </w:p>
          <w:p w14:paraId="677256C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Limited English Proficient (LEP) persons </w:t>
            </w:r>
          </w:p>
          <w:p w14:paraId="287743A5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Low-income individuals  </w:t>
            </w:r>
          </w:p>
          <w:p w14:paraId="026ACB6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Children </w:t>
            </w:r>
            <w:r w:rsidRPr="00706597">
              <w:rPr>
                <w:rFonts w:ascii="Lato" w:hAnsi="Lato"/>
                <w:sz w:val="22"/>
                <w:szCs w:val="22"/>
              </w:rPr>
              <w:br/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Others?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(List here)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5609628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1153BB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Does it serve those who have been disproportionately impacted by the issue?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(Does it address inequities?)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66A0E38C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5466CAB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Could the recommendation produce savings in other areas? </w:t>
            </w:r>
          </w:p>
        </w:tc>
      </w:tr>
      <w:tr w:rsidR="00706597" w:rsidRPr="00706597" w14:paraId="737F4B31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C235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How does this recommendation contribute to modernization?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0F63675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586A39E5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7C8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Action Lead: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10DB20D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[Who takes point on this recommendation?]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187961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12B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Key Collaborators: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36FB0E8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[Who should be included as decisions are made about how to implement this recommendation?]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433ACF92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BFE0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Intensity of Consensus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  <w:p w14:paraId="5E8C30D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[Is there group consensus that this recommendation is important for the modernization and reform of the behavioral health system in the state?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Does a wide cross-section of stakeholders feel that this recommendation would be mutually beneficial? To be addressed during final review.]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</w:tbl>
    <w:p w14:paraId="1FFFA2A0" w14:textId="5C70B392" w:rsidR="00814F87" w:rsidRDefault="00814F87" w:rsidP="00EF4D66">
      <w:pPr>
        <w:pStyle w:val="NormalWeb"/>
        <w:spacing w:before="0" w:beforeAutospacing="0" w:after="1080" w:afterAutospacing="0"/>
      </w:pPr>
    </w:p>
    <w:sectPr w:rsidR="00814F87" w:rsidSect="00D3473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1255" w14:textId="77777777" w:rsidR="00193EFA" w:rsidRDefault="00193EFA" w:rsidP="00814F87">
      <w:r>
        <w:separator/>
      </w:r>
    </w:p>
  </w:endnote>
  <w:endnote w:type="continuationSeparator" w:id="0">
    <w:p w14:paraId="520D11F7" w14:textId="77777777" w:rsidR="00193EFA" w:rsidRDefault="00193EFA" w:rsidP="00814F87">
      <w:r>
        <w:continuationSeparator/>
      </w:r>
    </w:p>
  </w:endnote>
  <w:endnote w:type="continuationNotice" w:id="1">
    <w:p w14:paraId="24C90A1C" w14:textId="77777777" w:rsidR="00193EFA" w:rsidRDefault="00193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AA7D" w14:textId="77777777" w:rsidR="00193EFA" w:rsidRDefault="00193EFA" w:rsidP="00814F87">
      <w:r>
        <w:separator/>
      </w:r>
    </w:p>
  </w:footnote>
  <w:footnote w:type="continuationSeparator" w:id="0">
    <w:p w14:paraId="28BDBA5A" w14:textId="77777777" w:rsidR="00193EFA" w:rsidRDefault="00193EFA" w:rsidP="00814F87">
      <w:r>
        <w:continuationSeparator/>
      </w:r>
    </w:p>
  </w:footnote>
  <w:footnote w:type="continuationNotice" w:id="1">
    <w:p w14:paraId="31F91EDB" w14:textId="77777777" w:rsidR="00193EFA" w:rsidRDefault="00193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7054" w14:textId="12A4E54A" w:rsidR="00814F87" w:rsidRDefault="007A68A2">
    <w:pPr>
      <w:pStyle w:val="Header"/>
    </w:pPr>
    <w:r>
      <w:t>MHMR – Telehealth W</w:t>
    </w:r>
    <w:r w:rsidR="00EF4D66">
      <w:t>orkgroup</w:t>
    </w:r>
    <w:r w:rsidR="00814F87">
      <w:tab/>
    </w:r>
    <w:r w:rsidR="00814F87">
      <w:tab/>
    </w:r>
  </w:p>
  <w:p w14:paraId="432773FC" w14:textId="71FE8564" w:rsidR="00814F87" w:rsidRDefault="007A68A2">
    <w:pPr>
      <w:pStyle w:val="Header"/>
    </w:pPr>
    <w:r>
      <w:t xml:space="preserve">New </w:t>
    </w:r>
    <w:r w:rsidR="00814F87">
      <w:t>Recommendation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868"/>
    <w:multiLevelType w:val="multilevel"/>
    <w:tmpl w:val="EF24E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E5368"/>
    <w:multiLevelType w:val="multilevel"/>
    <w:tmpl w:val="F7B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3E07"/>
    <w:multiLevelType w:val="hybridMultilevel"/>
    <w:tmpl w:val="BCA6AC5E"/>
    <w:lvl w:ilvl="0" w:tplc="4586B546">
      <w:start w:val="1"/>
      <w:numFmt w:val="decimal"/>
      <w:lvlText w:val="%1."/>
      <w:lvlJc w:val="left"/>
      <w:pPr>
        <w:ind w:left="420" w:hanging="360"/>
      </w:pPr>
      <w:rPr>
        <w:rFonts w:ascii="TimesNewRoman,Bold" w:hAnsi="TimesNewRoman,Bold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0779ED"/>
    <w:multiLevelType w:val="multilevel"/>
    <w:tmpl w:val="BB369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83853"/>
    <w:multiLevelType w:val="hybridMultilevel"/>
    <w:tmpl w:val="3880CE18"/>
    <w:lvl w:ilvl="0" w:tplc="C2B2C140"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21C"/>
    <w:multiLevelType w:val="multilevel"/>
    <w:tmpl w:val="C5B2F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A755E"/>
    <w:multiLevelType w:val="hybridMultilevel"/>
    <w:tmpl w:val="F2A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CD0"/>
    <w:multiLevelType w:val="multilevel"/>
    <w:tmpl w:val="B9C66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0191B"/>
    <w:multiLevelType w:val="hybridMultilevel"/>
    <w:tmpl w:val="8B20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21303">
    <w:abstractNumId w:val="6"/>
  </w:num>
  <w:num w:numId="2" w16cid:durableId="1028408295">
    <w:abstractNumId w:val="4"/>
  </w:num>
  <w:num w:numId="3" w16cid:durableId="1919710351">
    <w:abstractNumId w:val="2"/>
  </w:num>
  <w:num w:numId="4" w16cid:durableId="1786076344">
    <w:abstractNumId w:val="1"/>
  </w:num>
  <w:num w:numId="5" w16cid:durableId="81218452">
    <w:abstractNumId w:val="5"/>
  </w:num>
  <w:num w:numId="6" w16cid:durableId="1142310523">
    <w:abstractNumId w:val="7"/>
  </w:num>
  <w:num w:numId="7" w16cid:durableId="1618022761">
    <w:abstractNumId w:val="0"/>
  </w:num>
  <w:num w:numId="8" w16cid:durableId="300429408">
    <w:abstractNumId w:val="3"/>
  </w:num>
  <w:num w:numId="9" w16cid:durableId="1188373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87"/>
    <w:rsid w:val="00092DFB"/>
    <w:rsid w:val="0009357C"/>
    <w:rsid w:val="000D4CCB"/>
    <w:rsid w:val="000E293E"/>
    <w:rsid w:val="00145C57"/>
    <w:rsid w:val="00193EFA"/>
    <w:rsid w:val="001B0DAF"/>
    <w:rsid w:val="001D19BD"/>
    <w:rsid w:val="002205DC"/>
    <w:rsid w:val="0025037C"/>
    <w:rsid w:val="002A513F"/>
    <w:rsid w:val="002E1CFC"/>
    <w:rsid w:val="0034201F"/>
    <w:rsid w:val="00342BED"/>
    <w:rsid w:val="00356BFF"/>
    <w:rsid w:val="00361507"/>
    <w:rsid w:val="00364835"/>
    <w:rsid w:val="00372E80"/>
    <w:rsid w:val="003878A2"/>
    <w:rsid w:val="003F4FDE"/>
    <w:rsid w:val="00415A0F"/>
    <w:rsid w:val="004945A4"/>
    <w:rsid w:val="004A1C73"/>
    <w:rsid w:val="00524908"/>
    <w:rsid w:val="00527DFA"/>
    <w:rsid w:val="00545B86"/>
    <w:rsid w:val="0057788E"/>
    <w:rsid w:val="005B35DD"/>
    <w:rsid w:val="005E232D"/>
    <w:rsid w:val="005F2227"/>
    <w:rsid w:val="006615E6"/>
    <w:rsid w:val="00694D1E"/>
    <w:rsid w:val="006B1800"/>
    <w:rsid w:val="006B1A42"/>
    <w:rsid w:val="006C0293"/>
    <w:rsid w:val="006C3A44"/>
    <w:rsid w:val="006D58D0"/>
    <w:rsid w:val="007032F0"/>
    <w:rsid w:val="00706597"/>
    <w:rsid w:val="007113D7"/>
    <w:rsid w:val="00714D60"/>
    <w:rsid w:val="00741E92"/>
    <w:rsid w:val="007A68A2"/>
    <w:rsid w:val="007C6264"/>
    <w:rsid w:val="007C6B25"/>
    <w:rsid w:val="007E0E8E"/>
    <w:rsid w:val="00814F87"/>
    <w:rsid w:val="00835FC1"/>
    <w:rsid w:val="008711BE"/>
    <w:rsid w:val="008B4A45"/>
    <w:rsid w:val="00916FBD"/>
    <w:rsid w:val="00930A84"/>
    <w:rsid w:val="009335E7"/>
    <w:rsid w:val="009B0B81"/>
    <w:rsid w:val="009F290D"/>
    <w:rsid w:val="00A44442"/>
    <w:rsid w:val="00A72049"/>
    <w:rsid w:val="00AA1D75"/>
    <w:rsid w:val="00AB0E68"/>
    <w:rsid w:val="00B2176D"/>
    <w:rsid w:val="00B373F3"/>
    <w:rsid w:val="00B53D3C"/>
    <w:rsid w:val="00B64CDD"/>
    <w:rsid w:val="00B73430"/>
    <w:rsid w:val="00BF3837"/>
    <w:rsid w:val="00BF3A9D"/>
    <w:rsid w:val="00C33304"/>
    <w:rsid w:val="00CA3DDC"/>
    <w:rsid w:val="00CD6403"/>
    <w:rsid w:val="00CE021D"/>
    <w:rsid w:val="00D00291"/>
    <w:rsid w:val="00D23388"/>
    <w:rsid w:val="00D33493"/>
    <w:rsid w:val="00D34734"/>
    <w:rsid w:val="00DB29D6"/>
    <w:rsid w:val="00DE1129"/>
    <w:rsid w:val="00EE7D0B"/>
    <w:rsid w:val="00EF4D66"/>
    <w:rsid w:val="00F103D7"/>
    <w:rsid w:val="00F34448"/>
    <w:rsid w:val="00F52EAC"/>
    <w:rsid w:val="00F6125D"/>
    <w:rsid w:val="00F93296"/>
    <w:rsid w:val="00F97232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657E"/>
  <w15:chartTrackingRefBased/>
  <w15:docId w15:val="{BD6FA7AA-FFF4-F542-9384-755F2AD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87"/>
  </w:style>
  <w:style w:type="paragraph" w:styleId="Footer">
    <w:name w:val="footer"/>
    <w:basedOn w:val="Normal"/>
    <w:link w:val="FooterChar"/>
    <w:uiPriority w:val="99"/>
    <w:unhideWhenUsed/>
    <w:rsid w:val="0081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87"/>
  </w:style>
  <w:style w:type="paragraph" w:styleId="NormalWeb">
    <w:name w:val="Normal (Web)"/>
    <w:basedOn w:val="Normal"/>
    <w:uiPriority w:val="99"/>
    <w:unhideWhenUsed/>
    <w:rsid w:val="00814F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14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F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597"/>
    <w:pPr>
      <w:ind w:left="720"/>
      <w:contextualSpacing/>
    </w:pPr>
  </w:style>
  <w:style w:type="paragraph" w:customStyle="1" w:styleId="paragraph">
    <w:name w:val="paragraph"/>
    <w:basedOn w:val="Normal"/>
    <w:rsid w:val="007065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06597"/>
  </w:style>
  <w:style w:type="character" w:customStyle="1" w:styleId="eop">
    <w:name w:val="eop"/>
    <w:basedOn w:val="DefaultParagraphFont"/>
    <w:rsid w:val="00706597"/>
  </w:style>
  <w:style w:type="character" w:customStyle="1" w:styleId="scxw26977626">
    <w:name w:val="scxw26977626"/>
    <w:basedOn w:val="DefaultParagraphFont"/>
    <w:rsid w:val="00706597"/>
  </w:style>
  <w:style w:type="character" w:styleId="FollowedHyperlink">
    <w:name w:val="FollowedHyperlink"/>
    <w:basedOn w:val="DefaultParagraphFont"/>
    <w:uiPriority w:val="99"/>
    <w:semiHidden/>
    <w:unhideWhenUsed/>
    <w:rsid w:val="008711BE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527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8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slegislature.org/li/b2021_22/measures/hb220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legislature.org/li_2020/b2019_20/statute/040_000_0000_chapter/040_002_0000_article/040_002_0210_section/040_002_0210_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A9F310996834EBBF1C7805AEBBD48" ma:contentTypeVersion="6" ma:contentTypeDescription="Create a new document." ma:contentTypeScope="" ma:versionID="9857315c9ebb2c7f461b38efd997fed9">
  <xsd:schema xmlns:xsd="http://www.w3.org/2001/XMLSchema" xmlns:xs="http://www.w3.org/2001/XMLSchema" xmlns:p="http://schemas.microsoft.com/office/2006/metadata/properties" xmlns:ns2="5a5b0f26-4bff-4ab6-abfe-25d69dee8b63" xmlns:ns3="8534e2f9-0f68-499a-9f7e-bf4996d63924" targetNamespace="http://schemas.microsoft.com/office/2006/metadata/properties" ma:root="true" ma:fieldsID="80bfeece1c61bb42be019960d48c4dbd" ns2:_="" ns3:_="">
    <xsd:import namespace="5a5b0f26-4bff-4ab6-abfe-25d69dee8b63"/>
    <xsd:import namespace="8534e2f9-0f68-499a-9f7e-bf4996d6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0f26-4bff-4ab6-abfe-25d69dee8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e2f9-0f68-499a-9f7e-bf4996d6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F00C7-A422-40A3-9DC5-B57937A2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b0f26-4bff-4ab6-abfe-25d69dee8b63"/>
    <ds:schemaRef ds:uri="8534e2f9-0f68-499a-9f7e-bf4996d6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40B4-520D-034E-B3FA-4B5D0591A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F254D-25BA-4D05-A2C7-3B0660C79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5433E-D889-429B-BFC9-5021FE570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http://www.kslegislature.org/li/b2021_22/measures/hb2208/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http://www.kslegislature.org/li_2020/b2019_20/statute/040_000_0000_chapter/040_002_0000_article/040_002_0210_section/040_002_0210_k/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cp:keywords/>
  <dc:description/>
  <cp:lastModifiedBy>Cathy McNorton</cp:lastModifiedBy>
  <cp:revision>2</cp:revision>
  <dcterms:created xsi:type="dcterms:W3CDTF">2022-08-02T15:34:00Z</dcterms:created>
  <dcterms:modified xsi:type="dcterms:W3CDTF">2022-08-02T15:34:00Z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0x010100FCBA9F310996834EBBF1C7805AEBBD48</vt:lpwstr>
  </property>
</Properties>
</file>